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3hwla3m64v1q" w:id="0"/>
      <w:bookmarkEnd w:id="0"/>
      <w:r w:rsidDel="00000000" w:rsidR="00000000" w:rsidRPr="00000000">
        <w:rPr>
          <w:rtl w:val="0"/>
        </w:rPr>
        <w:t xml:space="preserve">Carbon Reduction Plan</w:t>
      </w:r>
    </w:p>
    <w:p w:rsidR="00000000" w:rsidDel="00000000" w:rsidP="00000000" w:rsidRDefault="00000000" w:rsidRPr="00000000" w14:paraId="00000002">
      <w:pPr>
        <w:rPr/>
      </w:pPr>
      <w:r w:rsidDel="00000000" w:rsidR="00000000" w:rsidRPr="00000000">
        <w:rPr>
          <w:rtl w:val="0"/>
        </w:rPr>
      </w:r>
    </w:p>
    <w:tbl>
      <w:tblPr>
        <w:tblStyle w:val="Table1"/>
        <w:tblW w:w="9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9"/>
        <w:gridCol w:w="4940"/>
        <w:tblGridChange w:id="0">
          <w:tblGrid>
            <w:gridCol w:w="4939"/>
            <w:gridCol w:w="4940"/>
          </w:tblGrid>
        </w:tblGridChange>
      </w:tblGrid>
      <w:tr>
        <w:trPr>
          <w:cantSplit w:val="0"/>
          <w:tblHeader w:val="0"/>
        </w:trPr>
        <w:tc>
          <w:tcPr/>
          <w:p w:rsidR="00000000" w:rsidDel="00000000" w:rsidP="00000000" w:rsidRDefault="00000000" w:rsidRPr="00000000" w14:paraId="00000003">
            <w:pPr>
              <w:rPr/>
            </w:pPr>
            <w:r w:rsidDel="00000000" w:rsidR="00000000" w:rsidRPr="00000000">
              <w:rPr>
                <w:b w:val="1"/>
                <w:bCs w:val="1"/>
                <w:rtl w:val="0"/>
              </w:rPr>
              <w:t xml:space="preserve">Supplier name</w:t>
            </w:r>
            <w:r w:rsidDel="00000000" w:rsidR="00000000" w:rsidRPr="00000000">
              <w:rPr>
                <w:rtl w:val="0"/>
              </w:rPr>
            </w:r>
          </w:p>
        </w:tc>
        <w:tc>
          <w:tcPr/>
          <w:p w:rsidR="00000000" w:rsidDel="00000000" w:rsidP="00000000" w:rsidRDefault="00000000" w:rsidRPr="00000000" w14:paraId="00000004">
            <w:pPr>
              <w:rPr>
                <w:b w:val="1"/>
                <w:bCs w:val="1"/>
              </w:rPr>
            </w:pPr>
            <w:r w:rsidDel="00000000" w:rsidR="00000000" w:rsidRPr="00000000">
              <w:rPr>
                <w:b w:val="1"/>
                <w:bCs w:val="1"/>
                <w:rtl w:val="0"/>
              </w:rPr>
              <w:t xml:space="preserve">Health Vision</w:t>
            </w:r>
          </w:p>
        </w:tc>
      </w:tr>
      <w:tr>
        <w:trPr>
          <w:cantSplit w:val="0"/>
          <w:tblHeader w:val="0"/>
        </w:trPr>
        <w:tc>
          <w:tcPr/>
          <w:p w:rsidR="00000000" w:rsidDel="00000000" w:rsidP="00000000" w:rsidRDefault="00000000" w:rsidRPr="00000000" w14:paraId="00000005">
            <w:pPr>
              <w:rPr/>
            </w:pPr>
            <w:r w:rsidDel="00000000" w:rsidR="00000000" w:rsidRPr="00000000">
              <w:rPr>
                <w:b w:val="1"/>
                <w:bCs w:val="1"/>
                <w:rtl w:val="0"/>
              </w:rPr>
              <w:t xml:space="preserve">Publication date</w:t>
            </w:r>
            <w:r w:rsidDel="00000000" w:rsidR="00000000" w:rsidRPr="00000000">
              <w:rPr>
                <w:rtl w:val="0"/>
              </w:rPr>
            </w:r>
          </w:p>
        </w:tc>
        <w:tc>
          <w:tcPr/>
          <w:p w:rsidR="00000000" w:rsidDel="00000000" w:rsidP="00000000" w:rsidRDefault="00000000" w:rsidRPr="00000000" w14:paraId="00000006">
            <w:pPr>
              <w:rPr>
                <w:b w:val="1"/>
                <w:bCs w:val="1"/>
              </w:rPr>
            </w:pPr>
            <w:r w:rsidDel="00000000" w:rsidR="00000000" w:rsidRPr="00000000">
              <w:rPr>
                <w:b w:val="1"/>
                <w:bCs w:val="1"/>
                <w:rtl w:val="0"/>
              </w:rPr>
              <w:t xml:space="preserve">21.6.26</w:t>
            </w:r>
          </w:p>
        </w:tc>
      </w:tr>
    </w:tbl>
    <w:p w:rsidR="00000000" w:rsidDel="00000000" w:rsidP="00000000" w:rsidRDefault="00000000" w:rsidRPr="00000000" w14:paraId="00000007">
      <w:pPr>
        <w:rPr>
          <w:b w:val="1"/>
          <w:bCs w:val="1"/>
        </w:rPr>
      </w:pPr>
      <w:r w:rsidDel="00000000" w:rsidR="00000000" w:rsidRPr="00000000">
        <w:rPr>
          <w:rtl w:val="0"/>
        </w:rPr>
      </w:r>
    </w:p>
    <w:bookmarkStart w:colFirst="0" w:colLast="0" w:name="4q0vtfixc9wm" w:id="1"/>
    <w:bookmarkEnd w:id="1"/>
    <w:p w:rsidR="00000000" w:rsidDel="00000000" w:rsidP="00000000" w:rsidRDefault="00000000" w:rsidRPr="00000000" w14:paraId="00000008">
      <w:pPr>
        <w:rPr/>
      </w:pPr>
      <w:r w:rsidDel="00000000" w:rsidR="00000000" w:rsidRPr="00000000">
        <w:rPr>
          <w:b w:val="1"/>
          <w:bCs w:val="1"/>
          <w:rtl w:val="0"/>
        </w:rPr>
        <w:t xml:space="preserve">Commitment to achieving net zero</w:t>
      </w: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Health Vision </w:t>
      </w:r>
      <w:r w:rsidDel="00000000" w:rsidR="00000000" w:rsidRPr="00000000">
        <w:rPr>
          <w:rtl w:val="0"/>
        </w:rPr>
        <w:t xml:space="preserve">is committed to achieving net zero emissions by 2030</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bookmarkStart w:colFirst="0" w:colLast="0" w:name="avq4befle0bv" w:id="2"/>
    <w:bookmarkEnd w:id="2"/>
    <w:p w:rsidR="00000000" w:rsidDel="00000000" w:rsidP="00000000" w:rsidRDefault="00000000" w:rsidRPr="00000000" w14:paraId="0000000B">
      <w:pPr>
        <w:rPr>
          <w:b w:val="1"/>
          <w:bCs w:val="1"/>
        </w:rPr>
      </w:pPr>
      <w:r w:rsidDel="00000000" w:rsidR="00000000" w:rsidRPr="00000000">
        <w:rPr>
          <w:b w:val="1"/>
          <w:bCs w:val="1"/>
          <w:rtl w:val="0"/>
        </w:rPr>
        <w:t xml:space="preserve">Baseline emissions footprint</w:t>
      </w:r>
    </w:p>
    <w:p w:rsidR="00000000" w:rsidDel="00000000" w:rsidP="00000000" w:rsidRDefault="00000000" w:rsidRPr="00000000" w14:paraId="0000000C">
      <w:pPr>
        <w:rPr/>
      </w:pPr>
      <w:r w:rsidDel="00000000" w:rsidR="00000000" w:rsidRPr="00000000">
        <w:rPr>
          <w:rtl w:val="0"/>
        </w:rPr>
        <w:t xml:space="preserve">Baseline emissions are a record of the greenhouse gases that have been produced in the past and were produced prior to the introduction of any strategies to reduce emissions.</w:t>
      </w:r>
    </w:p>
    <w:p w:rsidR="00000000" w:rsidDel="00000000" w:rsidP="00000000" w:rsidRDefault="00000000" w:rsidRPr="00000000" w14:paraId="0000000D">
      <w:pPr>
        <w:rPr/>
      </w:pPr>
      <w:r w:rsidDel="00000000" w:rsidR="00000000" w:rsidRPr="00000000">
        <w:rPr>
          <w:rtl w:val="0"/>
        </w:rPr>
        <w:t xml:space="preserve">Baseline emissions are the reference point against which emissions reduction can be measured.</w:t>
      </w:r>
    </w:p>
    <w:p w:rsidR="00000000" w:rsidDel="00000000" w:rsidP="00000000" w:rsidRDefault="00000000" w:rsidRPr="00000000" w14:paraId="0000000E">
      <w:pPr>
        <w:rPr/>
      </w:pPr>
      <w:r w:rsidDel="00000000" w:rsidR="00000000" w:rsidRPr="00000000">
        <w:rPr>
          <w:rtl w:val="0"/>
        </w:rPr>
      </w:r>
    </w:p>
    <w:tbl>
      <w:tblPr>
        <w:tblStyle w:val="Table2"/>
        <w:tblW w:w="9645.0" w:type="dxa"/>
        <w:jc w:val="left"/>
        <w:tblInd w:w="127.0" w:type="dxa"/>
        <w:tblLayout w:type="fixed"/>
        <w:tblLook w:val="0000"/>
      </w:tblPr>
      <w:tblGrid>
        <w:gridCol w:w="5550"/>
        <w:gridCol w:w="4095"/>
        <w:tblGridChange w:id="0">
          <w:tblGrid>
            <w:gridCol w:w="5550"/>
            <w:gridCol w:w="4095"/>
          </w:tblGrid>
        </w:tblGridChange>
      </w:tblGrid>
      <w:tr>
        <w:trPr>
          <w:cantSplit w:val="0"/>
          <w:trHeight w:val="389" w:hRule="atLeast"/>
          <w:tblHeader w:val="0"/>
        </w:trPr>
        <w:tc>
          <w:tcPr>
            <w:tcBorders>
              <w:bottom w:color="000000" w:space="0" w:sz="8" w:val="single"/>
            </w:tcBorders>
            <w:shd w:fill="d9ebff" w:val="clear"/>
            <w:tcMar>
              <w:top w:w="0.0" w:type="dxa"/>
              <w:left w:w="0.0" w:type="dxa"/>
              <w:bottom w:w="0.0" w:type="dxa"/>
              <w:right w:w="0.0" w:type="dxa"/>
            </w:tcMar>
          </w:tcPr>
          <w:p w:rsidR="00000000" w:rsidDel="00000000" w:rsidP="00000000" w:rsidRDefault="00000000" w:rsidRPr="00000000" w14:paraId="0000000F">
            <w:pPr>
              <w:rPr/>
            </w:pPr>
            <w:r w:rsidDel="00000000" w:rsidR="00000000" w:rsidRPr="00000000">
              <w:rPr>
                <w:b w:val="1"/>
                <w:bCs w:val="1"/>
                <w:rtl w:val="0"/>
              </w:rPr>
              <w:t xml:space="preserve">Baseline year: </w:t>
            </w:r>
            <w:r w:rsidDel="00000000" w:rsidR="00000000" w:rsidRPr="00000000">
              <w:rPr>
                <w:rtl w:val="0"/>
              </w:rPr>
              <w:t xml:space="preserve">2025</w:t>
            </w:r>
          </w:p>
        </w:tc>
        <w:tc>
          <w:tcPr>
            <w:tcBorders>
              <w:bottom w:color="000000" w:space="0" w:sz="8" w:val="single"/>
            </w:tcBorders>
            <w:shd w:fill="d9ebff" w:val="clear"/>
            <w:tcMar>
              <w:top w:w="0.0" w:type="dxa"/>
              <w:left w:w="0.0" w:type="dxa"/>
              <w:bottom w:w="0.0" w:type="dxa"/>
              <w:right w:w="0.0" w:type="dxa"/>
            </w:tcMar>
          </w:tcPr>
          <w:p w:rsidR="00000000" w:rsidDel="00000000" w:rsidP="00000000" w:rsidRDefault="00000000" w:rsidRPr="00000000" w14:paraId="00000010">
            <w:pPr>
              <w:rPr/>
            </w:pPr>
            <w:r w:rsidDel="00000000" w:rsidR="00000000" w:rsidRPr="00000000">
              <w:rPr>
                <w:rtl w:val="0"/>
              </w:rPr>
            </w:r>
          </w:p>
        </w:tc>
      </w:tr>
      <w:tr>
        <w:trPr>
          <w:cantSplit w:val="0"/>
          <w:trHeight w:val="390" w:hRule="atLeast"/>
          <w:tblHeader w:val="0"/>
        </w:trPr>
        <w:tc>
          <w:tcPr>
            <w:gridSpan w:val="2"/>
            <w:tcBorders>
              <w:top w:color="000000" w:space="0" w:sz="8" w:val="single"/>
              <w:bottom w:color="000000" w:space="0" w:sz="8" w:val="single"/>
            </w:tcBorders>
            <w:shd w:fill="ebf5ff" w:val="clear"/>
            <w:tcMar>
              <w:top w:w="0.0" w:type="dxa"/>
              <w:left w:w="0.0" w:type="dxa"/>
              <w:bottom w:w="0.0" w:type="dxa"/>
              <w:right w:w="0.0" w:type="dxa"/>
            </w:tcMar>
          </w:tcPr>
          <w:p w:rsidR="00000000" w:rsidDel="00000000" w:rsidP="00000000" w:rsidRDefault="00000000" w:rsidRPr="00000000" w14:paraId="00000011">
            <w:pPr>
              <w:rPr>
                <w:b w:val="1"/>
                <w:bCs w:val="1"/>
              </w:rPr>
            </w:pPr>
            <w:r w:rsidDel="00000000" w:rsidR="00000000" w:rsidRPr="00000000">
              <w:rPr>
                <w:b w:val="1"/>
                <w:bCs w:val="1"/>
                <w:rtl w:val="0"/>
              </w:rPr>
              <w:t xml:space="preserve">Additional details relating to the baseline emissions calculations: </w:t>
            </w:r>
          </w:p>
          <w:p w:rsidR="00000000" w:rsidDel="00000000" w:rsidP="00000000" w:rsidRDefault="00000000" w:rsidRPr="00000000" w14:paraId="00000012">
            <w:pPr>
              <w:spacing w:after="180" w:before="180" w:lineRule="auto"/>
              <w:rPr/>
            </w:pPr>
            <w:r w:rsidDel="00000000" w:rsidR="00000000" w:rsidRPr="00000000">
              <w:rPr>
                <w:rtl w:val="0"/>
              </w:rPr>
              <w:t xml:space="preserve">The baseline emissions year (2025) has been selected as the first year for which a complete and reliable set of emissions data is available across the organisation. Emissions have been calculated using the Greener Future Carbon Calculator and in accordance with the Greenhouse Gas Protocol Corporate Accounting and Reporting Standard.</w:t>
            </w:r>
          </w:p>
          <w:p w:rsidR="00000000" w:rsidDel="00000000" w:rsidP="00000000" w:rsidRDefault="00000000" w:rsidRPr="00000000" w14:paraId="00000013">
            <w:pPr>
              <w:spacing w:after="180" w:before="180" w:lineRule="auto"/>
              <w:rPr/>
            </w:pPr>
            <w:r w:rsidDel="00000000" w:rsidR="00000000" w:rsidRPr="00000000">
              <w:rPr>
                <w:rtl w:val="0"/>
              </w:rPr>
              <w:t xml:space="preserve">The baseline includes Scope 1, Scope 2 and relevant Scope 3 emissions categories applicable to Health Vision’s activities. Activity data was obtained from utility consumption records, business travel records, employee commuting data, supplier information and expenditure-based estimates where primary data was unavailable.</w:t>
            </w:r>
          </w:p>
          <w:p w:rsidR="00000000" w:rsidDel="00000000" w:rsidP="00000000" w:rsidRDefault="00000000" w:rsidRPr="00000000" w14:paraId="00000014">
            <w:pPr>
              <w:spacing w:after="180" w:before="180" w:lineRule="auto"/>
              <w:rPr/>
            </w:pPr>
            <w:r w:rsidDel="00000000" w:rsidR="00000000" w:rsidRPr="00000000">
              <w:rPr>
                <w:rtl w:val="0"/>
              </w:rPr>
              <w:t xml:space="preserve">Health Vision operates a hybrid working model, with office-based employees typically working from home for one to two days per week. The impact of hybrid working has been considered within the baseline emissions calculations, particularly in relation to employee commuting emissions. Commuting assumptions have been adjusted to reflect reduced travel to the workplace resulting from hybrid working arrangements. Homeworking emissions have not been separately reported where reliable activity data was unavailable; however, the reduction in commuting-related emissions is reflected within the reported Scope 3 employee commuting figures.</w:t>
            </w:r>
          </w:p>
          <w:p w:rsidR="00000000" w:rsidDel="00000000" w:rsidP="00000000" w:rsidRDefault="00000000" w:rsidRPr="00000000" w14:paraId="00000015">
            <w:pPr>
              <w:spacing w:after="180" w:before="180" w:lineRule="auto"/>
              <w:rPr/>
            </w:pPr>
            <w:r w:rsidDel="00000000" w:rsidR="00000000" w:rsidRPr="00000000">
              <w:rPr>
                <w:rtl w:val="0"/>
              </w:rPr>
              <w:t xml:space="preserve">Where actual consumption data was not available, reasonable estimates and assumptions have been applied using recognised emission factors. No material exclusions have been made from the organisational boundary. Health Vision has adopted an operational control approach for emissions reporting.</w:t>
            </w:r>
          </w:p>
          <w:p w:rsidR="00000000" w:rsidDel="00000000" w:rsidP="00000000" w:rsidRDefault="00000000" w:rsidRPr="00000000" w14:paraId="00000016">
            <w:pPr>
              <w:spacing w:after="180" w:before="180" w:lineRule="auto"/>
              <w:rPr/>
            </w:pPr>
            <w:r w:rsidDel="00000000" w:rsidR="00000000" w:rsidRPr="00000000">
              <w:rPr>
                <w:rtl w:val="0"/>
              </w:rPr>
              <w:t xml:space="preserve">There were no significant acquisitions, disposals or organisational restructuring events during the baseline year that would materially affect the comparability of emissions data. The baseline will be reviewed and recalculated where necessary to account for any future organisational changes or material improvements in data quality.</w:t>
            </w:r>
          </w:p>
          <w:p w:rsidR="00000000" w:rsidDel="00000000" w:rsidP="00000000" w:rsidRDefault="00000000" w:rsidRPr="00000000" w14:paraId="00000017">
            <w:pPr>
              <w:spacing w:after="180" w:before="180" w:lineRule="auto"/>
              <w:rPr/>
            </w:pPr>
            <w:r w:rsidDel="00000000" w:rsidR="00000000" w:rsidRPr="00000000">
              <w:rPr>
                <w:rtl w:val="0"/>
              </w:rPr>
            </w:r>
          </w:p>
        </w:tc>
      </w:tr>
      <w:tr>
        <w:trPr>
          <w:cantSplit w:val="0"/>
          <w:trHeight w:val="390" w:hRule="atLeast"/>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19">
            <w:pPr>
              <w:rPr/>
            </w:pPr>
            <w:r w:rsidDel="00000000" w:rsidR="00000000" w:rsidRPr="00000000">
              <w:rPr>
                <w:b w:val="1"/>
                <w:bCs w:val="1"/>
                <w:rtl w:val="0"/>
              </w:rPr>
              <w:t xml:space="preserve">Enter details</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1A">
            <w:pPr>
              <w:rPr/>
            </w:pPr>
            <w:r w:rsidDel="00000000" w:rsidR="00000000" w:rsidRPr="00000000">
              <w:rPr>
                <w:rtl w:val="0"/>
              </w:rPr>
            </w:r>
          </w:p>
        </w:tc>
      </w:tr>
      <w:tr>
        <w:trPr>
          <w:cantSplit w:val="0"/>
          <w:trHeight w:val="389" w:hRule="atLeast"/>
          <w:tblHeader w:val="0"/>
        </w:trPr>
        <w:tc>
          <w:tcPr>
            <w:tcBorders>
              <w:top w:color="000000" w:space="0" w:sz="8" w:val="single"/>
              <w:bottom w:color="000000" w:space="0" w:sz="8" w:val="single"/>
            </w:tcBorders>
            <w:shd w:fill="ebf5ff" w:val="clear"/>
            <w:tcMar>
              <w:top w:w="0.0" w:type="dxa"/>
              <w:left w:w="0.0" w:type="dxa"/>
              <w:bottom w:w="0.0" w:type="dxa"/>
              <w:right w:w="0.0" w:type="dxa"/>
            </w:tcMar>
          </w:tcPr>
          <w:p w:rsidR="00000000" w:rsidDel="00000000" w:rsidP="00000000" w:rsidRDefault="00000000" w:rsidRPr="00000000" w14:paraId="0000001B">
            <w:pPr>
              <w:rPr>
                <w:b w:val="1"/>
                <w:bCs w:val="1"/>
              </w:rPr>
            </w:pPr>
            <w:r w:rsidDel="00000000" w:rsidR="00000000" w:rsidRPr="00000000">
              <w:rPr>
                <w:b w:val="1"/>
                <w:bCs w:val="1"/>
                <w:rtl w:val="0"/>
              </w:rPr>
              <w:t xml:space="preserve">Baseline year emissions:</w:t>
            </w:r>
          </w:p>
        </w:tc>
        <w:tc>
          <w:tcPr>
            <w:tcBorders>
              <w:top w:color="000000" w:space="0" w:sz="8" w:val="single"/>
              <w:bottom w:color="000000" w:space="0" w:sz="8" w:val="single"/>
            </w:tcBorders>
            <w:shd w:fill="ebf5ff" w:val="clear"/>
            <w:tcMar>
              <w:top w:w="0.0" w:type="dxa"/>
              <w:left w:w="0.0" w:type="dxa"/>
              <w:bottom w:w="0.0" w:type="dxa"/>
              <w:right w:w="0.0" w:type="dxa"/>
            </w:tcMar>
          </w:tcPr>
          <w:p w:rsidR="00000000" w:rsidDel="00000000" w:rsidP="00000000" w:rsidRDefault="00000000" w:rsidRPr="00000000" w14:paraId="0000001C">
            <w:pPr>
              <w:rPr/>
            </w:pPr>
            <w:r w:rsidDel="00000000" w:rsidR="00000000" w:rsidRPr="00000000">
              <w:rPr>
                <w:rtl w:val="0"/>
              </w:rPr>
            </w:r>
          </w:p>
        </w:tc>
      </w:tr>
      <w:tr>
        <w:trPr>
          <w:cantSplit w:val="0"/>
          <w:trHeight w:val="390" w:hRule="atLeast"/>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1D">
            <w:pPr>
              <w:rPr>
                <w:b w:val="1"/>
                <w:bCs w:val="1"/>
              </w:rPr>
            </w:pPr>
            <w:r w:rsidDel="00000000" w:rsidR="00000000" w:rsidRPr="00000000">
              <w:rPr>
                <w:b w:val="1"/>
                <w:bCs w:val="1"/>
                <w:rtl w:val="0"/>
              </w:rPr>
              <w:t xml:space="preserve">Emissions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1E">
            <w:pPr>
              <w:rPr/>
            </w:pPr>
            <w:r w:rsidDel="00000000" w:rsidR="00000000" w:rsidRPr="00000000">
              <w:rPr>
                <w:rtl w:val="0"/>
              </w:rPr>
              <w:t xml:space="preserve">Total (tCO2e)</w:t>
            </w:r>
          </w:p>
        </w:tc>
      </w:tr>
      <w:tr>
        <w:trPr>
          <w:cantSplit w:val="0"/>
          <w:trHeight w:val="390" w:hRule="atLeast"/>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1F">
            <w:pPr>
              <w:rPr>
                <w:b w:val="1"/>
                <w:bCs w:val="1"/>
              </w:rPr>
            </w:pPr>
            <w:r w:rsidDel="00000000" w:rsidR="00000000" w:rsidRPr="00000000">
              <w:rPr>
                <w:b w:val="1"/>
                <w:bCs w:val="1"/>
                <w:rtl w:val="0"/>
              </w:rPr>
              <w:t xml:space="preserve">Scope 1</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0">
            <w:pPr>
              <w:rPr>
                <w:b w:val="1"/>
                <w:bCs w:val="1"/>
              </w:rPr>
            </w:pPr>
            <w:r w:rsidDel="00000000" w:rsidR="00000000" w:rsidRPr="00000000">
              <w:rPr>
                <w:b w:val="1"/>
                <w:bCs w:val="1"/>
                <w:rtl w:val="0"/>
              </w:rPr>
              <w:t xml:space="preserve">.6</w:t>
            </w:r>
          </w:p>
        </w:tc>
      </w:tr>
      <w:tr>
        <w:trPr>
          <w:cantSplit w:val="0"/>
          <w:trHeight w:val="389" w:hRule="atLeast"/>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1">
            <w:pPr>
              <w:rPr>
                <w:b w:val="1"/>
                <w:bCs w:val="1"/>
              </w:rPr>
            </w:pPr>
            <w:r w:rsidDel="00000000" w:rsidR="00000000" w:rsidRPr="00000000">
              <w:rPr>
                <w:b w:val="1"/>
                <w:bCs w:val="1"/>
                <w:rtl w:val="0"/>
              </w:rPr>
              <w:t xml:space="preserve">Scope 2</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2">
            <w:pPr>
              <w:rPr>
                <w:b w:val="1"/>
                <w:bCs w:val="1"/>
              </w:rPr>
            </w:pPr>
            <w:r w:rsidDel="00000000" w:rsidR="00000000" w:rsidRPr="00000000">
              <w:rPr>
                <w:b w:val="1"/>
                <w:bCs w:val="1"/>
                <w:rtl w:val="0"/>
              </w:rPr>
              <w:t xml:space="preserve">3.9</w:t>
            </w:r>
          </w:p>
        </w:tc>
      </w:tr>
      <w:tr>
        <w:trPr>
          <w:cantSplit w:val="0"/>
          <w:trHeight w:val="390" w:hRule="atLeast"/>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3">
            <w:pPr>
              <w:rPr>
                <w:b w:val="1"/>
                <w:bCs w:val="1"/>
              </w:rPr>
            </w:pPr>
            <w:r w:rsidDel="00000000" w:rsidR="00000000" w:rsidRPr="00000000">
              <w:rPr>
                <w:b w:val="1"/>
                <w:bCs w:val="1"/>
                <w:rtl w:val="0"/>
              </w:rPr>
              <w:t xml:space="preserve">Scope 3 (included sources)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4">
            <w:pPr>
              <w:rPr>
                <w:b w:val="1"/>
                <w:bCs w:val="1"/>
              </w:rPr>
            </w:pPr>
            <w:r w:rsidDel="00000000" w:rsidR="00000000" w:rsidRPr="00000000">
              <w:rPr>
                <w:b w:val="1"/>
                <w:bCs w:val="1"/>
                <w:rtl w:val="0"/>
              </w:rPr>
              <w:t xml:space="preserve">78.4</w:t>
            </w:r>
          </w:p>
        </w:tc>
      </w:tr>
      <w:tr>
        <w:trPr>
          <w:cantSplit w:val="0"/>
          <w:trHeight w:val="390" w:hRule="atLeast"/>
          <w:tblHeader w:val="0"/>
        </w:trPr>
        <w:tc>
          <w:tcPr>
            <w:tcBorders>
              <w:top w:color="000000" w:space="0" w:sz="8" w:val="single"/>
              <w:bottom w:color="000000" w:space="0" w:sz="8" w:val="single"/>
            </w:tcBorders>
            <w:shd w:fill="ebf5ff" w:val="clear"/>
            <w:tcMar>
              <w:top w:w="0.0" w:type="dxa"/>
              <w:left w:w="0.0" w:type="dxa"/>
              <w:bottom w:w="0.0" w:type="dxa"/>
              <w:right w:w="0.0" w:type="dxa"/>
            </w:tcMar>
          </w:tcPr>
          <w:p w:rsidR="00000000" w:rsidDel="00000000" w:rsidP="00000000" w:rsidRDefault="00000000" w:rsidRPr="00000000" w14:paraId="00000025">
            <w:pPr>
              <w:rPr>
                <w:b w:val="1"/>
                <w:bCs w:val="1"/>
              </w:rPr>
            </w:pPr>
            <w:r w:rsidDel="00000000" w:rsidR="00000000" w:rsidRPr="00000000">
              <w:rPr>
                <w:b w:val="1"/>
                <w:bCs w:val="1"/>
                <w:rtl w:val="0"/>
              </w:rPr>
              <w:t xml:space="preserve">Total emissions</w:t>
            </w:r>
          </w:p>
        </w:tc>
        <w:tc>
          <w:tcPr>
            <w:tcBorders>
              <w:top w:color="000000" w:space="0" w:sz="8" w:val="single"/>
              <w:bottom w:color="000000" w:space="0" w:sz="8" w:val="single"/>
            </w:tcBorders>
            <w:shd w:fill="ebf5ff" w:val="clear"/>
            <w:tcMar>
              <w:top w:w="0.0" w:type="dxa"/>
              <w:left w:w="0.0" w:type="dxa"/>
              <w:bottom w:w="0.0" w:type="dxa"/>
              <w:right w:w="0.0" w:type="dxa"/>
            </w:tcMar>
          </w:tcPr>
          <w:p w:rsidR="00000000" w:rsidDel="00000000" w:rsidP="00000000" w:rsidRDefault="00000000" w:rsidRPr="00000000" w14:paraId="00000026">
            <w:pPr>
              <w:rPr>
                <w:b w:val="1"/>
                <w:bCs w:val="1"/>
              </w:rPr>
            </w:pPr>
            <w:r w:rsidDel="00000000" w:rsidR="00000000" w:rsidRPr="00000000">
              <w:rPr>
                <w:b w:val="1"/>
                <w:bCs w:val="1"/>
                <w:rtl w:val="0"/>
              </w:rPr>
              <w:t xml:space="preserve">82.9</w:t>
            </w:r>
          </w:p>
        </w:tc>
      </w:tr>
    </w:tbl>
    <w:p w:rsidR="00000000" w:rsidDel="00000000" w:rsidP="00000000" w:rsidRDefault="00000000" w:rsidRPr="00000000" w14:paraId="00000027">
      <w:pPr>
        <w:rPr/>
      </w:pPr>
      <w:r w:rsidDel="00000000" w:rsidR="00000000" w:rsidRPr="00000000">
        <w:rPr>
          <w:rtl w:val="0"/>
        </w:rPr>
      </w:r>
    </w:p>
    <w:bookmarkStart w:colFirst="0" w:colLast="0" w:name="ojr628mokmk7" w:id="3"/>
    <w:bookmarkEnd w:id="3"/>
    <w:p w:rsidR="00000000" w:rsidDel="00000000" w:rsidP="00000000" w:rsidRDefault="00000000" w:rsidRPr="00000000" w14:paraId="00000028">
      <w:pPr>
        <w:rPr>
          <w:b w:val="1"/>
          <w:bCs w:val="1"/>
        </w:rPr>
      </w:pPr>
      <w:r w:rsidDel="00000000" w:rsidR="00000000" w:rsidRPr="00000000">
        <w:rPr>
          <w:b w:val="1"/>
          <w:bCs w:val="1"/>
          <w:rtl w:val="0"/>
        </w:rPr>
        <w:t xml:space="preserve">Current emissions reporting</w:t>
      </w:r>
    </w:p>
    <w:tbl>
      <w:tblPr>
        <w:tblStyle w:val="Table3"/>
        <w:tblW w:w="9653.0" w:type="dxa"/>
        <w:jc w:val="left"/>
        <w:tblInd w:w="127.0" w:type="dxa"/>
        <w:tblLayout w:type="fixed"/>
        <w:tblLook w:val="0000"/>
      </w:tblPr>
      <w:tblGrid>
        <w:gridCol w:w="5461"/>
        <w:gridCol w:w="4192"/>
        <w:tblGridChange w:id="0">
          <w:tblGrid>
            <w:gridCol w:w="5461"/>
            <w:gridCol w:w="4192"/>
          </w:tblGrid>
        </w:tblGridChange>
      </w:tblGrid>
      <w:tr>
        <w:trPr>
          <w:cantSplit w:val="0"/>
          <w:trHeight w:val="390" w:hRule="atLeast"/>
          <w:tblHeader w:val="0"/>
        </w:trPr>
        <w:tc>
          <w:tcPr>
            <w:tcBorders>
              <w:bottom w:color="000000" w:space="0" w:sz="8" w:val="single"/>
            </w:tcBorders>
            <w:shd w:fill="d9ebff" w:val="clear"/>
            <w:tcMar>
              <w:top w:w="0.0" w:type="dxa"/>
              <w:left w:w="0.0" w:type="dxa"/>
              <w:bottom w:w="0.0" w:type="dxa"/>
              <w:right w:w="0.0" w:type="dxa"/>
            </w:tcMar>
          </w:tcPr>
          <w:p w:rsidR="00000000" w:rsidDel="00000000" w:rsidP="00000000" w:rsidRDefault="00000000" w:rsidRPr="00000000" w14:paraId="00000029">
            <w:pPr>
              <w:rPr/>
            </w:pPr>
            <w:r w:rsidDel="00000000" w:rsidR="00000000" w:rsidRPr="00000000">
              <w:rPr>
                <w:b w:val="1"/>
                <w:bCs w:val="1"/>
                <w:rtl w:val="0"/>
              </w:rPr>
              <w:t xml:space="preserve">Reporting year: 2026</w:t>
            </w:r>
            <w:r w:rsidDel="00000000" w:rsidR="00000000" w:rsidRPr="00000000">
              <w:rPr>
                <w:rtl w:val="0"/>
              </w:rPr>
            </w:r>
          </w:p>
        </w:tc>
        <w:tc>
          <w:tcPr>
            <w:tcBorders>
              <w:bottom w:color="000000" w:space="0" w:sz="8" w:val="single"/>
            </w:tcBorders>
            <w:shd w:fill="d9ebff" w:val="clear"/>
            <w:tcMar>
              <w:top w:w="0.0" w:type="dxa"/>
              <w:left w:w="0.0" w:type="dxa"/>
              <w:bottom w:w="0.0" w:type="dxa"/>
              <w:right w:w="0.0" w:type="dxa"/>
            </w:tcMar>
          </w:tcPr>
          <w:p w:rsidR="00000000" w:rsidDel="00000000" w:rsidP="00000000" w:rsidRDefault="00000000" w:rsidRPr="00000000" w14:paraId="0000002A">
            <w:pPr>
              <w:rPr/>
            </w:pPr>
            <w:r w:rsidDel="00000000" w:rsidR="00000000" w:rsidRPr="00000000">
              <w:rPr>
                <w:rtl w:val="0"/>
              </w:rPr>
            </w:r>
          </w:p>
        </w:tc>
      </w:tr>
      <w:tr>
        <w:trPr>
          <w:cantSplit w:val="0"/>
          <w:trHeight w:val="389" w:hRule="atLeast"/>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B">
            <w:pPr>
              <w:rPr>
                <w:b w:val="1"/>
                <w:bCs w:val="1"/>
              </w:rPr>
            </w:pPr>
            <w:r w:rsidDel="00000000" w:rsidR="00000000" w:rsidRPr="00000000">
              <w:rPr>
                <w:b w:val="1"/>
                <w:bCs w:val="1"/>
                <w:rtl w:val="0"/>
              </w:rPr>
              <w:t xml:space="preserve">Emissions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C">
            <w:pPr>
              <w:rPr/>
            </w:pPr>
            <w:r w:rsidDel="00000000" w:rsidR="00000000" w:rsidRPr="00000000">
              <w:rPr>
                <w:rtl w:val="0"/>
              </w:rPr>
              <w:t xml:space="preserve">TOTAL (tCO2e)</w:t>
            </w:r>
          </w:p>
        </w:tc>
      </w:tr>
      <w:tr>
        <w:trPr>
          <w:cantSplit w:val="0"/>
          <w:trHeight w:val="390" w:hRule="atLeast"/>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D">
            <w:pPr>
              <w:rPr>
                <w:b w:val="1"/>
                <w:bCs w:val="1"/>
              </w:rPr>
            </w:pPr>
            <w:r w:rsidDel="00000000" w:rsidR="00000000" w:rsidRPr="00000000">
              <w:rPr>
                <w:b w:val="1"/>
                <w:bCs w:val="1"/>
                <w:rtl w:val="0"/>
              </w:rPr>
              <w:t xml:space="preserve">Scope 1</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E">
            <w:pPr>
              <w:rPr>
                <w:b w:val="1"/>
                <w:bCs w:val="1"/>
              </w:rPr>
            </w:pPr>
            <w:r w:rsidDel="00000000" w:rsidR="00000000" w:rsidRPr="00000000">
              <w:rPr>
                <w:b w:val="1"/>
                <w:bCs w:val="1"/>
                <w:rtl w:val="0"/>
              </w:rPr>
              <w:t xml:space="preserve">XX</w:t>
            </w:r>
          </w:p>
        </w:tc>
      </w:tr>
      <w:tr>
        <w:trPr>
          <w:cantSplit w:val="0"/>
          <w:trHeight w:val="389" w:hRule="atLeast"/>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2F">
            <w:pPr>
              <w:rPr>
                <w:b w:val="1"/>
                <w:bCs w:val="1"/>
              </w:rPr>
            </w:pPr>
            <w:r w:rsidDel="00000000" w:rsidR="00000000" w:rsidRPr="00000000">
              <w:rPr>
                <w:b w:val="1"/>
                <w:bCs w:val="1"/>
                <w:rtl w:val="0"/>
              </w:rPr>
              <w:t xml:space="preserve">Scope 2</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30">
            <w:pPr>
              <w:rPr>
                <w:b w:val="1"/>
                <w:bCs w:val="1"/>
              </w:rPr>
            </w:pPr>
            <w:r w:rsidDel="00000000" w:rsidR="00000000" w:rsidRPr="00000000">
              <w:rPr>
                <w:b w:val="1"/>
                <w:bCs w:val="1"/>
                <w:rtl w:val="0"/>
              </w:rPr>
              <w:t xml:space="preserve">XX</w:t>
            </w:r>
          </w:p>
        </w:tc>
      </w:tr>
      <w:tr>
        <w:trPr>
          <w:cantSplit w:val="0"/>
          <w:trHeight w:val="390" w:hRule="atLeast"/>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31">
            <w:pPr>
              <w:rPr>
                <w:b w:val="1"/>
                <w:bCs w:val="1"/>
              </w:rPr>
            </w:pPr>
            <w:r w:rsidDel="00000000" w:rsidR="00000000" w:rsidRPr="00000000">
              <w:rPr>
                <w:b w:val="1"/>
                <w:bCs w:val="1"/>
                <w:rtl w:val="0"/>
              </w:rPr>
              <w:t xml:space="preserve">Scope 3 (included sources)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32">
            <w:pPr>
              <w:rPr>
                <w:b w:val="1"/>
                <w:bCs w:val="1"/>
              </w:rPr>
            </w:pPr>
            <w:r w:rsidDel="00000000" w:rsidR="00000000" w:rsidRPr="00000000">
              <w:rPr>
                <w:b w:val="1"/>
                <w:bCs w:val="1"/>
                <w:rtl w:val="0"/>
              </w:rPr>
              <w:t xml:space="preserve">XX</w:t>
            </w:r>
          </w:p>
        </w:tc>
      </w:tr>
      <w:tr>
        <w:trPr>
          <w:cantSplit w:val="0"/>
          <w:trHeight w:val="390" w:hRule="atLeast"/>
          <w:tblHeader w:val="0"/>
        </w:trPr>
        <w:tc>
          <w:tcPr>
            <w:tcBorders>
              <w:top w:color="000000" w:space="0" w:sz="8" w:val="single"/>
              <w:bottom w:color="000000" w:space="0" w:sz="8" w:val="single"/>
            </w:tcBorders>
            <w:shd w:fill="ebf5ff" w:val="clear"/>
            <w:tcMar>
              <w:top w:w="0.0" w:type="dxa"/>
              <w:left w:w="0.0" w:type="dxa"/>
              <w:bottom w:w="0.0" w:type="dxa"/>
              <w:right w:w="0.0" w:type="dxa"/>
            </w:tcMar>
          </w:tcPr>
          <w:p w:rsidR="00000000" w:rsidDel="00000000" w:rsidP="00000000" w:rsidRDefault="00000000" w:rsidRPr="00000000" w14:paraId="00000033">
            <w:pPr>
              <w:rPr>
                <w:b w:val="1"/>
                <w:bCs w:val="1"/>
              </w:rPr>
            </w:pPr>
            <w:r w:rsidDel="00000000" w:rsidR="00000000" w:rsidRPr="00000000">
              <w:rPr>
                <w:b w:val="1"/>
                <w:bCs w:val="1"/>
                <w:rtl w:val="0"/>
              </w:rPr>
              <w:t xml:space="preserve">Total emissions</w:t>
            </w:r>
          </w:p>
        </w:tc>
        <w:tc>
          <w:tcPr>
            <w:tcBorders>
              <w:top w:color="000000" w:space="0" w:sz="8" w:val="single"/>
              <w:bottom w:color="000000" w:space="0" w:sz="8" w:val="single"/>
            </w:tcBorders>
            <w:shd w:fill="ebf5ff" w:val="clear"/>
            <w:tcMar>
              <w:top w:w="0.0" w:type="dxa"/>
              <w:left w:w="0.0" w:type="dxa"/>
              <w:bottom w:w="0.0" w:type="dxa"/>
              <w:right w:w="0.0" w:type="dxa"/>
            </w:tcMar>
          </w:tcPr>
          <w:p w:rsidR="00000000" w:rsidDel="00000000" w:rsidP="00000000" w:rsidRDefault="00000000" w:rsidRPr="00000000" w14:paraId="00000034">
            <w:pPr>
              <w:rPr>
                <w:b w:val="1"/>
                <w:bCs w:val="1"/>
              </w:rPr>
            </w:pPr>
            <w:r w:rsidDel="00000000" w:rsidR="00000000" w:rsidRPr="00000000">
              <w:rPr>
                <w:b w:val="1"/>
                <w:bCs w:val="1"/>
                <w:rtl w:val="0"/>
              </w:rPr>
              <w:t xml:space="preserve">XX</w:t>
            </w:r>
          </w:p>
        </w:tc>
      </w:tr>
    </w:tbl>
    <w:p w:rsidR="00000000" w:rsidDel="00000000" w:rsidP="00000000" w:rsidRDefault="00000000" w:rsidRPr="00000000" w14:paraId="00000035">
      <w:pPr>
        <w:rPr/>
        <w:sectPr>
          <w:pgSz w:h="16834" w:w="11909" w:orient="portrait"/>
          <w:pgMar w:bottom="820" w:top="1040" w:left="1000" w:right="1020" w:header="720" w:footer="720"/>
          <w:pgNumType w:start="1"/>
        </w:sectPr>
      </w:pPr>
      <w:r w:rsidDel="00000000" w:rsidR="00000000" w:rsidRPr="00000000">
        <w:rPr>
          <w:rtl w:val="0"/>
        </w:rPr>
      </w:r>
    </w:p>
    <w:bookmarkStart w:colFirst="0" w:colLast="0" w:name="o4zlnectp8xt" w:id="4"/>
    <w:bookmarkEnd w:id="4"/>
    <w:p w:rsidR="00000000" w:rsidDel="00000000" w:rsidP="00000000" w:rsidRDefault="00000000" w:rsidRPr="00000000" w14:paraId="00000036">
      <w:pPr>
        <w:rPr>
          <w:b w:val="1"/>
          <w:bCs w:val="1"/>
        </w:rPr>
      </w:pPr>
      <w:r w:rsidDel="00000000" w:rsidR="00000000" w:rsidRPr="00000000">
        <w:rPr>
          <w:b w:val="1"/>
          <w:bCs w:val="1"/>
          <w:rtl w:val="0"/>
        </w:rPr>
        <w:t xml:space="preserve">Emissions reduction targets</w:t>
      </w:r>
    </w:p>
    <w:p w:rsidR="00000000" w:rsidDel="00000000" w:rsidP="00000000" w:rsidRDefault="00000000" w:rsidRPr="00000000" w14:paraId="00000037">
      <w:pPr>
        <w:rPr/>
      </w:pPr>
      <w:r w:rsidDel="00000000" w:rsidR="00000000" w:rsidRPr="00000000">
        <w:rPr>
          <w:rtl w:val="0"/>
        </w:rPr>
        <w:t xml:space="preserve">In order to continue our progress to achieving net zero, we have adopted the following carbon reduction targets.</w:t>
      </w:r>
    </w:p>
    <w:p w:rsidR="00000000" w:rsidDel="00000000" w:rsidP="00000000" w:rsidRDefault="00000000" w:rsidRPr="00000000" w14:paraId="00000038">
      <w:pPr>
        <w:rPr/>
      </w:pPr>
      <w:r w:rsidDel="00000000" w:rsidR="00000000" w:rsidRPr="00000000">
        <w:rPr>
          <w:rtl w:val="0"/>
        </w:rPr>
        <w:t xml:space="preserve">We project that carbon emissions will decrease over the next five years to zero</w:t>
      </w:r>
      <w:r w:rsidDel="00000000" w:rsidR="00000000" w:rsidRPr="00000000">
        <w:rPr>
          <w:b w:val="1"/>
          <w:bCs w:val="1"/>
          <w:rtl w:val="0"/>
        </w:rPr>
        <w:t xml:space="preserve"> </w:t>
      </w:r>
      <w:r w:rsidDel="00000000" w:rsidR="00000000" w:rsidRPr="00000000">
        <w:rPr>
          <w:rtl w:val="0"/>
        </w:rPr>
        <w:t xml:space="preserve">tCO2e by 2030. This is a reduction of 100%.</w:t>
      </w:r>
    </w:p>
    <w:p w:rsidR="00000000" w:rsidDel="00000000" w:rsidP="00000000" w:rsidRDefault="00000000" w:rsidRPr="00000000" w14:paraId="00000039">
      <w:pPr>
        <w:rPr/>
      </w:pPr>
      <w:r w:rsidDel="00000000" w:rsidR="00000000" w:rsidRPr="00000000">
        <w:rPr>
          <w:rtl w:val="0"/>
        </w:rPr>
      </w:r>
    </w:p>
    <w:bookmarkStart w:colFirst="0" w:colLast="0" w:name="e84b1gbq8upj" w:id="5"/>
    <w:bookmarkEnd w:id="5"/>
    <w:p w:rsidR="00000000" w:rsidDel="00000000" w:rsidP="00000000" w:rsidRDefault="00000000" w:rsidRPr="00000000" w14:paraId="0000003A">
      <w:pPr>
        <w:rPr>
          <w:b w:val="1"/>
          <w:bCs w:val="1"/>
        </w:rPr>
      </w:pPr>
      <w:r w:rsidDel="00000000" w:rsidR="00000000" w:rsidRPr="00000000">
        <w:rPr>
          <w:b w:val="1"/>
          <w:bCs w:val="1"/>
          <w:rtl w:val="0"/>
        </w:rPr>
        <w:t xml:space="preserve">Carbon reduction projects</w:t>
      </w:r>
    </w:p>
    <w:p w:rsidR="00000000" w:rsidDel="00000000" w:rsidP="00000000" w:rsidRDefault="00000000" w:rsidRPr="00000000" w14:paraId="0000003B">
      <w:pPr>
        <w:rPr/>
      </w:pPr>
      <w:r w:rsidDel="00000000" w:rsidR="00000000" w:rsidRPr="00000000">
        <w:rPr>
          <w:rtl w:val="0"/>
        </w:rPr>
        <w:t xml:space="preserve">In our CRP, we have calculated Baseline (2025) emissions as Scope 1 (.6 tCO2e), Scope 2 (3.9 tCO2e), Scope 3 (78.4 tCO2e). We will reduce these by 25% (flat line) annually to achieve net zero by 2030 through:</w:t>
      </w:r>
    </w:p>
    <w:p w:rsidR="00000000" w:rsidDel="00000000" w:rsidP="00000000" w:rsidRDefault="00000000" w:rsidRPr="00000000" w14:paraId="0000003C">
      <w:pPr>
        <w:rPr/>
      </w:pPr>
      <w:r w:rsidDel="00000000" w:rsidR="00000000" w:rsidRPr="00000000">
        <w:rPr>
          <w:rtl w:val="0"/>
        </w:rPr>
        <w:t xml:space="preserve">Reducing car miles by staff annually by pairing drivers and non-drivers, clustering runs in Hounslow postcodes, and promoting green transport (e.g. public transport subsidies, cycle to work scheme). Currently, 32% Hounslow Care Workers walk/cycle between visits.</w:t>
      </w:r>
    </w:p>
    <w:p w:rsidR="00000000" w:rsidDel="00000000" w:rsidP="00000000" w:rsidRDefault="00000000" w:rsidRPr="00000000" w14:paraId="0000003D">
      <w:pPr>
        <w:rPr/>
      </w:pPr>
      <w:r w:rsidDel="00000000" w:rsidR="00000000" w:rsidRPr="00000000">
        <w:rPr>
          <w:rtl w:val="0"/>
        </w:rPr>
        <w:t xml:space="preserve">Purchasing an additional 2 EV company vehicles by 2030. Our current vehicles are all Euro 6 standard; annually serviced.</w:t>
      </w:r>
    </w:p>
    <w:p w:rsidR="00000000" w:rsidDel="00000000" w:rsidP="00000000" w:rsidRDefault="00000000" w:rsidRPr="00000000" w14:paraId="0000003E">
      <w:pPr>
        <w:rPr/>
      </w:pPr>
      <w:r w:rsidDel="00000000" w:rsidR="00000000" w:rsidRPr="00000000">
        <w:rPr>
          <w:rtl w:val="0"/>
        </w:rPr>
        <w:t xml:space="preserve">Achieving 100% digital operations (excluding Council mandated printed Resident Packs and resident choice) by 2027.</w:t>
      </w:r>
    </w:p>
    <w:p w:rsidR="00000000" w:rsidDel="00000000" w:rsidP="00000000" w:rsidRDefault="00000000" w:rsidRPr="00000000" w14:paraId="0000003F">
      <w:pPr>
        <w:rPr/>
      </w:pPr>
      <w:r w:rsidDel="00000000" w:rsidR="00000000" w:rsidRPr="00000000">
        <w:rPr>
          <w:rtl w:val="0"/>
        </w:rPr>
        <w:t xml:space="preserve">Not using single-use plastics in our office, purchasing recycled content PPE (e.g. gloveman), and ensuring recycling sorting for food and waste at our office and resident homes; by 2027. We will also minimise packaging and delivery miles through bulk-purchasing (e.g. 4 months PPE) and dispensing bulk orders into small end-user packages (e.g. hand sanitiser).</w:t>
      </w:r>
    </w:p>
    <w:p w:rsidR="00000000" w:rsidDel="00000000" w:rsidP="00000000" w:rsidRDefault="00000000" w:rsidRPr="00000000" w14:paraId="00000040">
      <w:pPr>
        <w:rPr/>
      </w:pPr>
      <w:r w:rsidDel="00000000" w:rsidR="00000000" w:rsidRPr="00000000">
        <w:rPr>
          <w:rtl w:val="0"/>
        </w:rPr>
        <w:t xml:space="preserve">Targeting an energy rating of B or better at our office (working with our landlord) through ensure low-energy LED lighting (motion detected), automated PC shut-off (2 minutes), and energy usage signs (e.g. opening windows in summer, not using air-conditioning).</w:t>
      </w:r>
    </w:p>
    <w:p w:rsidR="00000000" w:rsidDel="00000000" w:rsidP="00000000" w:rsidRDefault="00000000" w:rsidRPr="00000000" w14:paraId="00000041">
      <w:pPr>
        <w:rPr/>
      </w:pPr>
      <w:r w:rsidDel="00000000" w:rsidR="00000000" w:rsidRPr="00000000">
        <w:rPr>
          <w:rtl w:val="0"/>
        </w:rPr>
      </w:r>
    </w:p>
    <w:bookmarkStart w:colFirst="0" w:colLast="0" w:name="xozybmc5w6jt" w:id="6"/>
    <w:bookmarkEnd w:id="6"/>
    <w:bookmarkStart w:colFirst="0" w:colLast="0" w:name="bdkota1il7tp" w:id="7"/>
    <w:bookmarkEnd w:id="7"/>
    <w:p w:rsidR="00000000" w:rsidDel="00000000" w:rsidP="00000000" w:rsidRDefault="00000000" w:rsidRPr="00000000" w14:paraId="00000042">
      <w:pPr>
        <w:rPr>
          <w:b w:val="1"/>
          <w:bCs w:val="1"/>
        </w:rPr>
      </w:pPr>
      <w:r w:rsidDel="00000000" w:rsidR="00000000" w:rsidRPr="00000000">
        <w:rPr>
          <w:b w:val="1"/>
          <w:bCs w:val="1"/>
          <w:rtl w:val="0"/>
        </w:rPr>
        <w:t xml:space="preserve">Future carbon reduction initiatives</w:t>
      </w:r>
    </w:p>
    <w:p w:rsidR="00000000" w:rsidDel="00000000" w:rsidP="00000000" w:rsidRDefault="00000000" w:rsidRPr="00000000" w14:paraId="00000043">
      <w:pPr>
        <w:rPr>
          <w:b w:val="1"/>
          <w:bCs w:val="1"/>
          <w:highlight w:val="yellow"/>
        </w:rPr>
      </w:pPr>
      <w:r w:rsidDel="00000000" w:rsidR="00000000" w:rsidRPr="00000000">
        <w:rPr>
          <w:rtl w:val="0"/>
        </w:rPr>
        <w:t xml:space="preserve">In the future we hope to implement further measures such as: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Work with local electric bicycle schemes to offer staff the opportunity for discounted electric bicycle transport.</w:t>
      </w:r>
    </w:p>
    <w:p w:rsidR="00000000" w:rsidDel="00000000" w:rsidP="00000000" w:rsidRDefault="00000000" w:rsidRPr="00000000" w14:paraId="00000045">
      <w:pPr>
        <w:rPr/>
      </w:pPr>
      <w:r w:rsidDel="00000000" w:rsidR="00000000" w:rsidRPr="00000000">
        <w:rPr>
          <w:rtl w:val="0"/>
        </w:rPr>
        <w:t xml:space="preserve">Engage with local charities to support planting of trees and rewilding brownfield land.</w:t>
      </w:r>
    </w:p>
    <w:p w:rsidR="00000000" w:rsidDel="00000000" w:rsidP="00000000" w:rsidRDefault="00000000" w:rsidRPr="00000000" w14:paraId="00000046">
      <w:pPr>
        <w:rPr/>
      </w:pPr>
      <w:r w:rsidDel="00000000" w:rsidR="00000000" w:rsidRPr="00000000">
        <w:rPr>
          <w:rtl w:val="0"/>
        </w:rPr>
      </w:r>
    </w:p>
    <w:bookmarkStart w:colFirst="0" w:colLast="0" w:name="hmfzn1nrgmih" w:id="8"/>
    <w:bookmarkEnd w:id="8"/>
    <w:p w:rsidR="00000000" w:rsidDel="00000000" w:rsidP="00000000" w:rsidRDefault="00000000" w:rsidRPr="00000000" w14:paraId="00000047">
      <w:pPr>
        <w:rPr>
          <w:b w:val="1"/>
          <w:bCs w:val="1"/>
        </w:rPr>
      </w:pPr>
      <w:r w:rsidDel="00000000" w:rsidR="00000000" w:rsidRPr="00000000">
        <w:rPr>
          <w:b w:val="1"/>
          <w:bCs w:val="1"/>
          <w:rtl w:val="0"/>
        </w:rPr>
        <w:t xml:space="preserve">Declaration and sign off</w:t>
      </w:r>
    </w:p>
    <w:p w:rsidR="00000000" w:rsidDel="00000000" w:rsidP="00000000" w:rsidRDefault="00000000" w:rsidRPr="00000000" w14:paraId="00000048">
      <w:pPr>
        <w:rPr/>
      </w:pPr>
      <w:r w:rsidDel="00000000" w:rsidR="00000000" w:rsidRPr="00000000">
        <w:rPr>
          <w:rtl w:val="0"/>
        </w:rPr>
        <w:t xml:space="preserve">This Carbon Reduction Plan has been completed in accordance with PPN 006 and associated guidance and reporting standard for Carbon Reduction Plans.</w:t>
      </w:r>
    </w:p>
    <w:p w:rsidR="00000000" w:rsidDel="00000000" w:rsidP="00000000" w:rsidRDefault="00000000" w:rsidRPr="00000000" w14:paraId="00000049">
      <w:pPr>
        <w:rPr/>
      </w:pPr>
      <w:r w:rsidDel="00000000" w:rsidR="00000000" w:rsidRPr="00000000">
        <w:rPr>
          <w:rtl w:val="0"/>
        </w:rPr>
        <w:t xml:space="preserve">Emissions have been reported and recorded in accordance with the published reporting standard for Carbon Reduction Plans and the GHG Reporting Protocol corporate standard</w:t>
      </w:r>
      <w:hyperlink w:anchor="_95p7yhz9zufb">
        <w:r w:rsidDel="00000000" w:rsidR="00000000" w:rsidRPr="00000000">
          <w:rPr>
            <w:color w:val="0000ff"/>
            <w:u w:val="single"/>
            <w:vertAlign w:val="superscript"/>
            <w:rtl w:val="0"/>
          </w:rPr>
          <w:t xml:space="preserve">13</w:t>
        </w:r>
      </w:hyperlink>
      <w:r w:rsidDel="00000000" w:rsidR="00000000" w:rsidRPr="00000000">
        <w:rPr>
          <w:rtl w:val="0"/>
        </w:rPr>
        <w:t xml:space="preserve"> and uses the appropriate </w:t>
      </w:r>
      <w:hyperlink r:id="rId6">
        <w:r w:rsidDel="00000000" w:rsidR="00000000" w:rsidRPr="00000000">
          <w:rPr>
            <w:color w:val="0000ff"/>
            <w:u w:val="single"/>
            <w:rtl w:val="0"/>
          </w:rPr>
          <w:t xml:space="preserve">government emission conversion factors for</w:t>
        </w:r>
      </w:hyperlink>
      <w:r w:rsidDel="00000000" w:rsidR="00000000" w:rsidRPr="00000000">
        <w:rPr>
          <w:rtl w:val="0"/>
        </w:rPr>
        <w:t xml:space="preserve"> </w:t>
      </w:r>
      <w:hyperlink r:id="rId7">
        <w:r w:rsidDel="00000000" w:rsidR="00000000" w:rsidRPr="00000000">
          <w:rPr>
            <w:color w:val="0000ff"/>
            <w:u w:val="single"/>
            <w:rtl w:val="0"/>
          </w:rPr>
          <w:t xml:space="preserve">greenhouse gas company reporting</w:t>
        </w:r>
      </w:hyperlink>
      <w:r w:rsidDel="00000000" w:rsidR="00000000" w:rsidRPr="00000000">
        <w:rPr>
          <w:rtl w:val="0"/>
        </w:rPr>
        <w:t xml:space="preserve">.</w:t>
      </w:r>
      <w:hyperlink w:anchor="_ngh2qxreovsl">
        <w:r w:rsidDel="00000000" w:rsidR="00000000" w:rsidRPr="00000000">
          <w:rPr>
            <w:color w:val="0000ff"/>
            <w:u w:val="single"/>
            <w:vertAlign w:val="superscript"/>
            <w:rtl w:val="0"/>
          </w:rPr>
          <w:t xml:space="preserve">14</w:t>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Scope 1 and Scope 2 emissions have been reported in accordance with SECR requirements (where required), and the required subset of Scope 3 emissions have been reported in accordance with the published reporting standard for Carbon Reduction Plans and the Corporate Value Chain (Scope 3) Standard.</w:t>
      </w:r>
      <w:hyperlink w:anchor="_33u0hxbkfybk">
        <w:r w:rsidDel="00000000" w:rsidR="00000000" w:rsidRPr="00000000">
          <w:rPr>
            <w:color w:val="0000ff"/>
            <w:u w:val="single"/>
            <w:vertAlign w:val="superscript"/>
            <w:rtl w:val="0"/>
          </w:rPr>
          <w:t xml:space="preserve">15</w:t>
        </w:r>
      </w:hyperlink>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This Carbon Reduction Plan has been reviewed and signed off by the board of directors (or equivalent management body).</w:t>
      </w:r>
    </w:p>
    <w:p w:rsidR="00000000" w:rsidDel="00000000" w:rsidP="00000000" w:rsidRDefault="00000000" w:rsidRPr="00000000" w14:paraId="0000004C">
      <w:pPr>
        <w:rPr/>
      </w:pPr>
      <w:r w:rsidDel="00000000" w:rsidR="00000000" w:rsidRPr="00000000">
        <w:rPr>
          <w:rtl w:val="0"/>
        </w:rPr>
      </w:r>
    </w:p>
    <w:bookmarkStart w:colFirst="0" w:colLast="0" w:name="wbl47a2xe2rw" w:id="9"/>
    <w:bookmarkEnd w:id="9"/>
    <w:p w:rsidR="00000000" w:rsidDel="00000000" w:rsidP="00000000" w:rsidRDefault="00000000" w:rsidRPr="00000000" w14:paraId="0000004D">
      <w:pPr>
        <w:rPr>
          <w:b w:val="1"/>
          <w:bCs w:val="1"/>
        </w:rPr>
      </w:pPr>
      <w:r w:rsidDel="00000000" w:rsidR="00000000" w:rsidRPr="00000000">
        <w:rPr>
          <w:b w:val="1"/>
          <w:bCs w:val="1"/>
          <w:rtl w:val="0"/>
        </w:rPr>
        <w:t xml:space="preserve">Signed on behalf of the supplier:</w:t>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pPr>
      <w:r w:rsidDel="00000000" w:rsidR="00000000" w:rsidRPr="00000000">
        <w:rPr/>
        <w:drawing>
          <wp:inline distB="0" distT="0" distL="114300" distR="114300">
            <wp:extent cx="1193800" cy="379095"/>
            <wp:effectExtent b="0" l="0" r="0" t="0"/>
            <wp:docPr descr="https://lh4.googleusercontent.com/lvrCnhU3A23wnbTGdtW5VvTwjBPSCmotuuW2ttMeB70iZN_9aySe6RPhnDqZs2gsQNSVKdL6ZOz44QRulS8K7o7pHBih1mbDCXkg4MayXYGvtdd63lhQnJ8QP-YD-S08Nnb8WQ" id="1" name="image1.png"/>
            <a:graphic>
              <a:graphicData uri="http://schemas.openxmlformats.org/drawingml/2006/picture">
                <pic:pic>
                  <pic:nvPicPr>
                    <pic:cNvPr descr="https://lh4.googleusercontent.com/lvrCnhU3A23wnbTGdtW5VvTwjBPSCmotuuW2ttMeB70iZN_9aySe6RPhnDqZs2gsQNSVKdL6ZOz44QRulS8K7o7pHBih1mbDCXkg4MayXYGvtdd63lhQnJ8QP-YD-S08Nnb8WQ" id="0" name="image1.png"/>
                    <pic:cNvPicPr preferRelativeResize="0"/>
                  </pic:nvPicPr>
                  <pic:blipFill>
                    <a:blip r:embed="rId8"/>
                    <a:srcRect b="0" l="0" r="0" t="0"/>
                    <a:stretch>
                      <a:fillRect/>
                    </a:stretch>
                  </pic:blipFill>
                  <pic:spPr>
                    <a:xfrm>
                      <a:off x="0" y="0"/>
                      <a:ext cx="1193800" cy="379095"/>
                    </a:xfrm>
                    <a:prstGeom prst="rect"/>
                    <a:ln/>
                  </pic:spPr>
                </pic:pic>
              </a:graphicData>
            </a:graphic>
          </wp:inline>
        </w:drawing>
      </w:r>
      <w:r w:rsidDel="00000000" w:rsidR="00000000" w:rsidRPr="00000000">
        <w:rPr>
          <w:rtl w:val="0"/>
        </w:rPr>
        <w:t xml:space="preserve">………………………………………………………. Date: 21.6.26………….……….</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widowControl w:val="0"/>
        <w:spacing w:before="96" w:line="240" w:lineRule="auto"/>
        <w:ind w:left="134" w:firstLine="0"/>
        <w:rPr/>
      </w:pPr>
      <w:r w:rsidDel="00000000" w:rsidR="00000000" w:rsidRPr="00000000">
        <w:rPr>
          <w:sz w:val="26"/>
          <w:szCs w:val="26"/>
          <w:vertAlign w:val="superscript"/>
          <w:rtl w:val="0"/>
        </w:rPr>
        <w:t xml:space="preserve">13 </w:t>
      </w:r>
      <w:hyperlink r:id="rId9">
        <w:r w:rsidDel="00000000" w:rsidR="00000000" w:rsidRPr="00000000">
          <w:rPr>
            <w:color w:val="005aba"/>
            <w:sz w:val="20"/>
            <w:szCs w:val="20"/>
            <w:u w:val="single"/>
            <w:rtl w:val="0"/>
          </w:rPr>
          <w:t xml:space="preserve">https://ghgprotocol.org/corporate-standard</w:t>
        </w:r>
      </w:hyperlink>
      <w:r w:rsidDel="00000000" w:rsidR="00000000" w:rsidRPr="00000000">
        <w:rPr>
          <w:rtl w:val="0"/>
        </w:rPr>
      </w:r>
    </w:p>
    <w:p w:rsidR="00000000" w:rsidDel="00000000" w:rsidP="00000000" w:rsidRDefault="00000000" w:rsidRPr="00000000" w14:paraId="00000052">
      <w:pPr>
        <w:widowControl w:val="0"/>
        <w:spacing w:before="4" w:line="240" w:lineRule="auto"/>
        <w:ind w:left="134" w:firstLine="0"/>
        <w:rPr/>
      </w:pPr>
      <w:bookmarkStart w:colFirst="0" w:colLast="0" w:name="_ngh2qxreovsl" w:id="10"/>
      <w:bookmarkEnd w:id="10"/>
      <w:r w:rsidDel="00000000" w:rsidR="00000000" w:rsidRPr="00000000">
        <w:rPr>
          <w:sz w:val="26"/>
          <w:szCs w:val="26"/>
          <w:vertAlign w:val="superscript"/>
          <w:rtl w:val="0"/>
        </w:rPr>
        <w:t xml:space="preserve">14 </w:t>
      </w:r>
      <w:hyperlink r:id="rId10">
        <w:r w:rsidDel="00000000" w:rsidR="00000000" w:rsidRPr="00000000">
          <w:rPr>
            <w:color w:val="0000ff"/>
            <w:sz w:val="20"/>
            <w:szCs w:val="20"/>
            <w:u w:val="single"/>
            <w:rtl w:val="0"/>
          </w:rPr>
          <w:t xml:space="preserve">www.gov.uk/government/collections/government-conversion-factors-for-company-reporting</w:t>
        </w:r>
      </w:hyperlink>
      <w:r w:rsidDel="00000000" w:rsidR="00000000" w:rsidRPr="00000000">
        <w:rPr>
          <w:rtl w:val="0"/>
        </w:rPr>
      </w:r>
    </w:p>
    <w:p w:rsidR="00000000" w:rsidDel="00000000" w:rsidP="00000000" w:rsidRDefault="00000000" w:rsidRPr="00000000" w14:paraId="00000053">
      <w:pPr>
        <w:widowControl w:val="0"/>
        <w:spacing w:before="3" w:line="240" w:lineRule="auto"/>
        <w:ind w:left="134" w:firstLine="0"/>
        <w:rPr/>
      </w:pPr>
      <w:bookmarkStart w:colFirst="0" w:colLast="0" w:name="_33u0hxbkfybk" w:id="11"/>
      <w:bookmarkEnd w:id="11"/>
      <w:r w:rsidDel="00000000" w:rsidR="00000000" w:rsidRPr="00000000">
        <w:rPr>
          <w:sz w:val="26"/>
          <w:szCs w:val="26"/>
          <w:vertAlign w:val="superscript"/>
          <w:rtl w:val="0"/>
        </w:rPr>
        <w:t xml:space="preserve">15 </w:t>
      </w:r>
      <w:hyperlink r:id="rId11">
        <w:r w:rsidDel="00000000" w:rsidR="00000000" w:rsidRPr="00000000">
          <w:rPr>
            <w:color w:val="005aba"/>
            <w:sz w:val="20"/>
            <w:szCs w:val="20"/>
            <w:u w:val="single"/>
            <w:rtl w:val="0"/>
          </w:rPr>
          <w:t xml:space="preserve">https://ghgprotocol.org/standards/scope-3-standard</w:t>
        </w:r>
      </w:hyperlink>
      <w:r w:rsidDel="00000000" w:rsidR="00000000" w:rsidRPr="00000000">
        <w:rPr>
          <w:rtl w:val="0"/>
        </w:rPr>
      </w:r>
    </w:p>
    <w:sectPr>
      <w:type w:val="nextPage"/>
      <w:pgSz w:h="16834" w:w="11909" w:orient="portrait"/>
      <w:pgMar w:bottom="820" w:top="1040" w:left="1000" w:right="10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3864"/>
      <w:sz w:val="36"/>
      <w:szCs w:val="36"/>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hgprotocol.org/standards/scope-3-standard" TargetMode="External"/><Relationship Id="rId10" Type="http://schemas.openxmlformats.org/officeDocument/2006/relationships/hyperlink" Target="https://www.hounslow.gov.uk/environment/climate-emergency" TargetMode="External"/><Relationship Id="rId9" Type="http://schemas.openxmlformats.org/officeDocument/2006/relationships/hyperlink" Target="mailto:procurement@hounslow.gov.uk" TargetMode="External"/><Relationship Id="rId5" Type="http://schemas.openxmlformats.org/officeDocument/2006/relationships/styles" Target="styles.xml"/><Relationship Id="rId6" Type="http://schemas.openxmlformats.org/officeDocument/2006/relationships/hyperlink" Target="https://www.gov.uk/government/collections/government-conversion-factors-for-company-reporting" TargetMode="External"/><Relationship Id="rId7" Type="http://schemas.openxmlformats.org/officeDocument/2006/relationships/hyperlink" Target="https://www.gov.uk/government/collections/government-conversion-factors-for-company-reportin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